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jc w:val="both"/>
        <w:rPr>
          <w:rStyle w:val="FontStyle1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-42545</wp:posOffset>
            </wp:positionH>
            <wp:positionV relativeFrom="margin">
              <wp:posOffset>-452120</wp:posOffset>
            </wp:positionV>
            <wp:extent cx="1447800" cy="1323975"/>
            <wp:effectExtent l="0" t="0" r="0" b="0"/>
            <wp:wrapNone/>
            <wp:docPr id="1" name="Obraz 1" descr="G:\Dzielnicowy_logo_wybrane kurwa ma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Dzielnicowy_logo_wybrane kurwa mać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18"/>
        </w:rPr>
        <w:t xml:space="preserve"> </w:t>
      </w:r>
      <w:r>
        <w:rPr>
          <w:rStyle w:val="FontStyle18"/>
        </w:rPr>
        <w:t xml:space="preserve">                                              </w:t>
      </w:r>
      <w:r>
        <w:rPr>
          <w:rStyle w:val="FontStyle18"/>
        </w:rPr>
        <w:tab/>
        <w:t xml:space="preserve">                                                     Zamość  dnia 01.07.2025 r.</w:t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both"/>
        <w:rPr>
          <w:rStyle w:val="FontStyle18"/>
        </w:rPr>
      </w:pPr>
      <w:r>
        <w:rPr/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widowControl/>
        <w:tabs>
          <w:tab w:val="clear" w:pos="708"/>
          <w:tab w:val="left" w:pos="4210" w:leader="none"/>
          <w:tab w:val="left" w:pos="6058" w:leader="dot"/>
        </w:tabs>
        <w:ind w:left="5" w:hanging="0"/>
        <w:jc w:val="center"/>
        <w:rPr>
          <w:rStyle w:val="FontStyle16"/>
          <w:b w:val="false"/>
          <w:b w:val="false"/>
          <w:bCs w:val="false"/>
          <w:sz w:val="24"/>
          <w:szCs w:val="24"/>
        </w:rPr>
      </w:pPr>
      <w:r>
        <w:rPr>
          <w:rStyle w:val="FontStyle15"/>
          <w:sz w:val="24"/>
          <w:szCs w:val="24"/>
        </w:rPr>
        <w:t xml:space="preserve">Informacja o realizacji planu </w:t>
      </w:r>
      <w:r>
        <w:rPr>
          <w:rStyle w:val="FontStyle16"/>
          <w:sz w:val="24"/>
          <w:szCs w:val="24"/>
        </w:rPr>
        <w:t>działania priorytetowego</w:t>
      </w:r>
    </w:p>
    <w:p>
      <w:pPr>
        <w:pStyle w:val="Style31"/>
        <w:widowControl/>
        <w:spacing w:lineRule="exact" w:line="331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dla rejonu służbowego nr 6 KMP w Zamościu</w:t>
        <w:br/>
        <w:t>na okres od 01.07.2025 r. do 31.07.2025 r.</w:t>
      </w:r>
    </w:p>
    <w:p>
      <w:pPr>
        <w:pStyle w:val="Style31"/>
        <w:widowControl/>
        <w:spacing w:lineRule="exact" w:line="331"/>
        <w:jc w:val="center"/>
        <w:rPr>
          <w:rStyle w:val="FontStyle16"/>
          <w:sz w:val="24"/>
          <w:szCs w:val="24"/>
        </w:rPr>
      </w:pPr>
      <w:r>
        <w:rPr>
          <w:sz w:val="20"/>
          <w:szCs w:val="20"/>
        </w:rPr>
      </w:r>
    </w:p>
    <w:p>
      <w:pPr>
        <w:pStyle w:val="Style31"/>
        <w:widowControl/>
        <w:spacing w:lineRule="exact" w:line="331"/>
        <w:jc w:val="center"/>
        <w:rPr>
          <w:rStyle w:val="FontStyle16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1.Charakterystyka zdiagnozowanego zagrożenia w rejonie służbowym.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1"/>
        <w:widowControl/>
        <w:ind w:left="284" w:hanging="0"/>
        <w:jc w:val="both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Na podstawie przeprowadzonej analizy stanu bezpieczeństwa dla rejonu służbowego nr. 6, analizy oczekiwań społecznych przekazywanych podczas rozmów z mieszkańcami, podczas obchodu rejonu służbowego oraz własnych obserwacji, zdiagnozowano główne zagrożenie w postaci braku wyznaczonego przejścia dla pieszych na ul. Droga Męczenników Rotundy w Zamościu. Od stycznia 2025 r. do chwili obecnej podczas rozmów  mieszkańcy os. Promyk w Zamościu wielokrotnie zwracali uwagę na fakt, iż na ul. Droga Męczenników Rotundy w Zamościu nie ma wyznaczonego przejścia</w:t>
        <w:br/>
        <w:t>dla pieszych a jest to miejsce często uczęszczane w tym przez osoby małoletnie i turystów, którzy przemieszczają się do Muzeum „Rotunda”, na teren Zalewu Miejskiego w Zamościu oraz na obiekty sportowe OSiRu w Zamościu. Brak przejścia dla pieszych w tym miejscu powoduje nawarstwianiem się niepokoju, a co za tym idzie odczuwaniem obniżonego poczucia bezpieczeństwa. Osoby te zgłaszają ten problem oczekując wyeliminowania tego zjawiska.</w:t>
      </w:r>
    </w:p>
    <w:p>
      <w:pPr>
        <w:pStyle w:val="Style21"/>
        <w:widowControl/>
        <w:ind w:left="284" w:hanging="0"/>
        <w:jc w:val="both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Style21"/>
        <w:widowControl/>
        <w:ind w:left="284" w:hanging="0"/>
        <w:jc w:val="both"/>
        <w:rPr>
          <w:rStyle w:val="FontStyle18"/>
          <w:sz w:val="20"/>
          <w:szCs w:val="20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FontStyle18"/>
        </w:rPr>
      </w:pPr>
      <w:r>
        <w:rPr>
          <w:rStyle w:val="FontStyle18"/>
          <w:sz w:val="20"/>
          <w:szCs w:val="20"/>
        </w:rPr>
        <w:t>2. Zakładany cel do osiągnięcia</w:t>
      </w:r>
    </w:p>
    <w:p>
      <w:pPr>
        <w:pStyle w:val="Normal"/>
        <w:spacing w:lineRule="auto" w:line="240" w:before="0" w:after="0"/>
        <w:jc w:val="both"/>
        <w:rPr>
          <w:rStyle w:val="FontStyle18"/>
          <w:sz w:val="20"/>
          <w:szCs w:val="20"/>
        </w:rPr>
      </w:pPr>
      <w:r>
        <w:rPr/>
      </w:r>
    </w:p>
    <w:p>
      <w:pPr>
        <w:pStyle w:val="Normal"/>
        <w:ind w:left="195" w:hanging="0"/>
        <w:jc w:val="both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Podniesienie poziomu bezpieczeństwa mieszkańców osiedla Promyk oraz  innych osób przemieszczających się ul. Droga Męczenników Rotundy w Zamościu. Cel zostanie zrealizowany</w:t>
        <w:br/>
        <w:t>w przypadku właściwego wyznaczenia i oznakowania przejścia dla pieszych na ul. Droga Męczenników Rotundy w Zamościu. Uświadamianie kierującym do czego służy wyznaczone przejście</w:t>
        <w:br/>
        <w:t>dla pieszych oraz respektowanie naniesionych oznaczeń.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0"/>
          <w:szCs w:val="20"/>
        </w:rPr>
      </w:pPr>
      <w:r>
        <w:rPr/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</w:rPr>
      </w:pPr>
      <w:r>
        <w:rPr>
          <w:rStyle w:val="FontStyle18"/>
          <w:sz w:val="20"/>
          <w:szCs w:val="20"/>
        </w:rPr>
        <w:t>3. Proponowane działania wraz z terminami realizacji poszczególnych etapów/zadań.</w:t>
      </w:r>
    </w:p>
    <w:p>
      <w:pPr>
        <w:pStyle w:val="Style81"/>
        <w:widowControl/>
        <w:tabs>
          <w:tab w:val="clear" w:pos="708"/>
          <w:tab w:val="left" w:pos="499" w:leader="none"/>
        </w:tabs>
        <w:spacing w:lineRule="auto" w:line="240"/>
        <w:ind w:left="249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81"/>
        <w:widowControl/>
        <w:numPr>
          <w:ilvl w:val="0"/>
          <w:numId w:val="1"/>
        </w:numPr>
        <w:tabs>
          <w:tab w:val="clear" w:pos="708"/>
          <w:tab w:val="left" w:pos="499" w:leader="none"/>
        </w:tabs>
        <w:spacing w:lineRule="auto" w:line="24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Opracowanie pisma do Zarządu os. Promyk w Zamościu - do 31 lipca 2025 r.</w:t>
      </w:r>
    </w:p>
    <w:p>
      <w:pPr>
        <w:pStyle w:val="Style81"/>
        <w:widowControl/>
        <w:numPr>
          <w:ilvl w:val="0"/>
          <w:numId w:val="1"/>
        </w:numPr>
        <w:tabs>
          <w:tab w:val="clear" w:pos="708"/>
          <w:tab w:val="left" w:pos="499" w:leader="none"/>
        </w:tabs>
        <w:spacing w:lineRule="auto" w:line="24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Opracowanie pisma do Zarządu Dróg Grodzkich – do 31 lipca 2025 r.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0"/>
          <w:szCs w:val="20"/>
        </w:rPr>
      </w:pPr>
      <w:r>
        <w:rPr/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  <w:sz w:val="20"/>
          <w:szCs w:val="20"/>
        </w:rPr>
      </w:pPr>
      <w:r>
        <w:rPr/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rStyle w:val="FontStyle18"/>
        </w:rPr>
      </w:pPr>
      <w:r>
        <w:rPr>
          <w:rStyle w:val="FontStyle18"/>
          <w:sz w:val="20"/>
          <w:szCs w:val="20"/>
        </w:rPr>
        <w:t>4. Podmioty współpracujące w realizacji działania priorytetowego, wraz ze wskazaniem planowanych</w:t>
        <w:br/>
        <w:t>przez nie do realizacji zadań.</w:t>
      </w:r>
    </w:p>
    <w:p>
      <w:pPr>
        <w:pStyle w:val="Style81"/>
        <w:widowControl/>
        <w:tabs>
          <w:tab w:val="clear" w:pos="708"/>
          <w:tab w:val="left" w:pos="250" w:leader="none"/>
        </w:tabs>
        <w:spacing w:lineRule="auto" w:line="240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81"/>
        <w:widowControl/>
        <w:numPr>
          <w:ilvl w:val="0"/>
          <w:numId w:val="2"/>
        </w:numPr>
        <w:tabs>
          <w:tab w:val="clear" w:pos="708"/>
          <w:tab w:val="left" w:pos="499" w:leader="none"/>
          <w:tab w:val="left" w:pos="567" w:leader="none"/>
        </w:tabs>
        <w:spacing w:lineRule="auto" w:line="240"/>
        <w:ind w:left="195" w:hanging="0"/>
        <w:jc w:val="both"/>
        <w:rPr/>
      </w:pPr>
      <w:r>
        <w:rPr>
          <w:b/>
          <w:bCs/>
          <w:sz w:val="20"/>
          <w:szCs w:val="20"/>
        </w:rPr>
        <w:t>Zarząd os. Promyk w Zamościu</w:t>
      </w:r>
      <w:r>
        <w:rPr>
          <w:rStyle w:val="FontStyle18"/>
          <w:b/>
          <w:bCs/>
          <w:sz w:val="20"/>
          <w:szCs w:val="20"/>
        </w:rPr>
        <w:t>- podjęcie współpracy mającej na celu wyznaczenie przejścia</w:t>
        <w:br/>
        <w:t xml:space="preserve">dla pieszych na </w:t>
      </w:r>
      <w:r>
        <w:rPr>
          <w:rStyle w:val="FontStyle18"/>
          <w:b/>
          <w:bCs/>
          <w:color w:val="000000"/>
          <w:sz w:val="20"/>
          <w:szCs w:val="20"/>
        </w:rPr>
        <w:t>ul. Droga Męczenników Rotundy w Zamościu</w:t>
      </w:r>
      <w:r>
        <w:rPr>
          <w:rStyle w:val="FontStyle18"/>
          <w:b/>
          <w:bCs/>
          <w:sz w:val="20"/>
          <w:szCs w:val="20"/>
        </w:rPr>
        <w:t>.</w:t>
      </w:r>
    </w:p>
    <w:p>
      <w:pPr>
        <w:pStyle w:val="Style81"/>
        <w:widowControl/>
        <w:numPr>
          <w:ilvl w:val="0"/>
          <w:numId w:val="2"/>
        </w:numPr>
        <w:tabs>
          <w:tab w:val="clear" w:pos="708"/>
          <w:tab w:val="left" w:pos="499" w:leader="none"/>
          <w:tab w:val="left" w:pos="567" w:leader="none"/>
        </w:tabs>
        <w:spacing w:lineRule="auto" w:line="240"/>
        <w:ind w:left="195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Zarząd Dróg Grodzkich – wyznaczenie i prawidłowe oznakowanie przejścia dla pieszych</w:t>
        <w:br/>
        <w:t>na ul. Droga Męczenników Rotundy w Zamościu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1"/>
        <w:widowControl/>
        <w:jc w:val="both"/>
        <w:rPr>
          <w:rStyle w:val="FontStyle12"/>
          <w:sz w:val="20"/>
          <w:szCs w:val="20"/>
        </w:rPr>
      </w:pPr>
      <w:r>
        <w:rPr>
          <w:b w:val="false"/>
          <w:spacing w:val="-10"/>
        </w:rPr>
      </w:r>
    </w:p>
    <w:p>
      <w:pPr>
        <w:pStyle w:val="Style21"/>
        <w:widowControl/>
        <w:jc w:val="both"/>
        <w:rPr>
          <w:rStyle w:val="FontStyle12"/>
          <w:b w:val="false"/>
          <w:b w:val="false"/>
          <w:spacing w:val="-10"/>
        </w:rPr>
      </w:pPr>
      <w:r>
        <w:rPr>
          <w:rStyle w:val="FontStyle12"/>
          <w:b w:val="false"/>
          <w:spacing w:val="-10"/>
          <w:sz w:val="20"/>
          <w:szCs w:val="20"/>
        </w:rPr>
        <w:t>5.   Proponowany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sposób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przekazania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społeczności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rejonu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informacji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o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działaniu</w:t>
      </w:r>
      <w:r>
        <w:rPr>
          <w:rStyle w:val="FontStyle12"/>
          <w:b w:val="false"/>
          <w:sz w:val="20"/>
          <w:szCs w:val="20"/>
        </w:rPr>
        <w:t xml:space="preserve"> </w:t>
      </w:r>
      <w:r>
        <w:rPr>
          <w:rStyle w:val="FontStyle12"/>
          <w:b w:val="false"/>
          <w:spacing w:val="-10"/>
          <w:sz w:val="20"/>
          <w:szCs w:val="20"/>
        </w:rPr>
        <w:t>priorytetowym.</w:t>
      </w:r>
    </w:p>
    <w:p>
      <w:pPr>
        <w:pStyle w:val="Style21"/>
        <w:widowControl/>
        <w:jc w:val="both"/>
        <w:rPr>
          <w:rStyle w:val="FontStyle12"/>
          <w:sz w:val="20"/>
          <w:szCs w:val="20"/>
        </w:rPr>
      </w:pPr>
      <w:r>
        <w:rPr>
          <w:b w:val="false"/>
          <w:bCs w:val="false"/>
          <w:spacing w:val="-10"/>
        </w:rPr>
      </w:r>
    </w:p>
    <w:p>
      <w:pPr>
        <w:pStyle w:val="Style21"/>
        <w:widowControl/>
        <w:ind w:left="247" w:hanging="0"/>
        <w:jc w:val="both"/>
        <w:rPr>
          <w:rStyle w:val="FontStyle12"/>
          <w:b w:val="false"/>
          <w:b w:val="false"/>
          <w:bCs w:val="false"/>
          <w:sz w:val="24"/>
          <w:szCs w:val="24"/>
        </w:rPr>
      </w:pPr>
      <w:r>
        <w:rPr>
          <w:rStyle w:val="FontStyle14"/>
          <w:sz w:val="20"/>
          <w:szCs w:val="20"/>
        </w:rPr>
        <w:t>Informowanie społeczności w trakcie obchodu podległego rejonu służbowego oraz wykonywania czynności służbowych, a także poprzez zamieszczenie na stronie internetowej KMP Zamość.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0"/>
          <w:szCs w:val="20"/>
        </w:rPr>
        <w:t>Sporządził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Dzielnicowy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mł. asp. Eryk Helman.  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609" w:hanging="36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555" w:hanging="360"/>
      </w:pPr>
      <w:rPr>
        <w:sz w:val="20"/>
        <w:b/>
        <w:szCs w:val="20"/>
        <w:bCs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75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c2e73"/>
    <w:rPr>
      <w:rFonts w:ascii="Tahoma" w:hAnsi="Tahoma" w:cs="Tahoma"/>
      <w:sz w:val="16"/>
      <w:szCs w:val="16"/>
    </w:rPr>
  </w:style>
  <w:style w:type="character" w:styleId="FontStyle18" w:customStyle="1">
    <w:name w:val="Font Style18"/>
    <w:basedOn w:val="DefaultParagraphFont"/>
    <w:qFormat/>
    <w:rsid w:val="000d75b6"/>
    <w:rPr>
      <w:rFonts w:ascii="Times New Roman" w:hAnsi="Times New Roman" w:cs="Times New Roman"/>
      <w:sz w:val="20"/>
      <w:szCs w:val="20"/>
    </w:rPr>
  </w:style>
  <w:style w:type="character" w:styleId="FontStyle14" w:customStyle="1">
    <w:name w:val="Font Style14"/>
    <w:basedOn w:val="DefaultParagraphFont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3" w:customStyle="1">
    <w:name w:val="Font Style13"/>
    <w:basedOn w:val="DefaultParagraphFont"/>
    <w:uiPriority w:val="99"/>
    <w:qFormat/>
    <w:rsid w:val="000d75b6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basedOn w:val="DefaultParagraphFont"/>
    <w:qFormat/>
    <w:rsid w:val="00906ead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basedOn w:val="DefaultParagraphFont"/>
    <w:uiPriority w:val="99"/>
    <w:semiHidden/>
    <w:qFormat/>
    <w:rsid w:val="00e25bfe"/>
    <w:rPr>
      <w:rFonts w:ascii="Calibri" w:hAnsi="Calibri" w:eastAsia="Calibri" w:cs="Calibri"/>
    </w:rPr>
  </w:style>
  <w:style w:type="character" w:styleId="StopkaZnak" w:customStyle="1">
    <w:name w:val="Stopka Znak"/>
    <w:basedOn w:val="DefaultParagraphFont"/>
    <w:uiPriority w:val="99"/>
    <w:semiHidden/>
    <w:qFormat/>
    <w:rsid w:val="00e25bfe"/>
    <w:rPr>
      <w:rFonts w:ascii="Calibri" w:hAnsi="Calibri" w:eastAsia="Calibri" w:cs="Calibri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7641da"/>
    <w:rPr>
      <w:rFonts w:ascii="Calibri" w:hAnsi="Calibri" w:eastAsia="Calibri" w:cs="Calibri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41da"/>
    <w:rPr>
      <w:vertAlign w:val="superscript"/>
    </w:rPr>
  </w:style>
  <w:style w:type="character" w:styleId="Znakinumeracji">
    <w:name w:val="Znaki numeracji"/>
    <w:qFormat/>
    <w:rPr>
      <w:b/>
      <w:bCs/>
      <w:sz w:val="20"/>
      <w:szCs w:val="20"/>
    </w:rPr>
  </w:style>
  <w:style w:type="character" w:styleId="ListLabel1">
    <w:name w:val="ListLabel 1"/>
    <w:qFormat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c2e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61" w:customStyle="1">
    <w:name w:val="Style6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qFormat/>
    <w:rsid w:val="000d75b6"/>
    <w:pPr>
      <w:widowControl w:val="false"/>
      <w:spacing w:lineRule="exact" w:line="245" w:before="0" w:after="0"/>
      <w:ind w:hanging="2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d75b6"/>
    <w:pPr>
      <w:spacing w:before="0" w:after="200"/>
      <w:ind w:left="720" w:hanging="0"/>
      <w:contextualSpacing/>
    </w:pPr>
    <w:rPr/>
  </w:style>
  <w:style w:type="paragraph" w:styleId="Style51" w:customStyle="1">
    <w:name w:val="Style5"/>
    <w:basedOn w:val="Normal"/>
    <w:uiPriority w:val="99"/>
    <w:qFormat/>
    <w:rsid w:val="00906ead"/>
    <w:pPr>
      <w:widowControl w:val="false"/>
      <w:spacing w:lineRule="exact" w:line="207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e25b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25b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641d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DFC5-AC81-47A9-9204-E6286CD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LibreOffice/6.2.3.2$Windows_x86 LibreOffice_project/aecc05fe267cc68dde00352a451aa867b3b546ac</Application>
  <Pages>1</Pages>
  <Words>352</Words>
  <Characters>2253</Characters>
  <CharactersWithSpaces>2693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2022-12-15T08:06:00Z</dcterms:created>
  <dc:creator>Kasia</dc:creator>
  <dc:description/>
  <dc:language>pl-PL</dc:language>
  <cp:lastModifiedBy/>
  <cp:lastPrinted>2025-06-27T10:55:35Z</cp:lastPrinted>
  <dcterms:modified xsi:type="dcterms:W3CDTF">2025-06-27T10:56:04Z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